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16 — الاقتصاد الجزائري — المدة: دقيقتان</w:t>
      </w:r>
    </w:p>
    <w:p>
      <w:pPr>
        <w:bidi/>
      </w:pPr>
      <w:r>
        <w:rPr>
          <w:rtl/>
        </w:rPr>
        <w:t xml:space="preserve">تمثل المحروقات أكثر من 90% من صادرات الجزائر.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ماذا تستنتج من هذه النسبة؟ واقترح حلّين لتنويع الاقتصاد الوطني.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2026-11-02T19:35:02Z</dcterms:created>
  <dcterms:modified xsi:type="dcterms:W3CDTF">2026-11-02T19:35:02Z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