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14 — الناتج المحلي الخام — المدة: دقيقتان</w:t>
      </w:r>
    </w:p>
    <w:p>
      <w:pPr>
        <w:bidi/>
      </w:pPr>
      <w:r>
        <w:rPr>
          <w:rtl/>
        </w:rPr>
        <w:t xml:space="preserve">يمثل المدرج الناتج المحلي الخام لبعض القوى الاقتصادية سنة 2023 (بآلاف الملايير من الدولارات، تقريبي).</w:t>
      </w:r>
    </w:p>
    <w:p>
      <w:pPr>
        <w:bidi/>
      </w:pPr>
      <w:r>
        <w:drawing>
          <wp:inline>
            <wp:extent cx="3959999" cy="23019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3019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رتّب الدول تنازلياً، واحسب تقريبياً كم مرة يفوق الناتج الأمريكي ناتج الصين.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2026-11-02T19:35:00Z</dcterms:created>
  <dcterms:modified xsi:type="dcterms:W3CDTF">2026-11-02T19:35:00Z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