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تاريخ-والجغرافيا"/>
    <w:p>
      <w:pPr>
        <w:pStyle w:val="Heading1"/>
        <w:bidi/>
      </w:pPr>
      <w:r>
        <w:rPr>
          <w:rtl/>
        </w:rPr>
        <w:t xml:space="preserve">مسابقة بين الثانويات — التاريخ والجغرافيا</w:t>
      </w:r>
    </w:p>
    <w:p>
      <w:pPr>
        <w:bidi/>
      </w:pPr>
      <w:r>
        <w:rPr>
          <w:rtl/>
          <w:bCs/>
          <w:b/>
        </w:rPr>
        <w:t xml:space="preserve">السؤال رقم 6 — ساقية سيدي يوسف — المدة: دقيقتان</w:t>
      </w:r>
    </w:p>
    <w:p>
      <w:pPr>
        <w:bidi/>
      </w:pPr>
      <w:r>
        <w:rPr>
          <w:rtl/>
        </w:rPr>
        <w:t xml:space="preserve">قصفت الطائرات الفرنسية قرية ساقية سيدي يوسف الحدودية.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في أي بلد تقع هذه القرية؟ ما تاريخ القصف؟ ولماذا قامت فرنسا بذلك؟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2026-11-02T19:34:50Z</dcterms:created>
  <dcterms:modified xsi:type="dcterms:W3CDTF">2026-11-02T19:34:50Z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