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9 — منحنى الدالة المشتقة — المدة: دقيقتان</w:t>
      </w:r>
    </w:p>
    <w:p>
      <w:pPr>
        <w:bidi/>
      </w:pPr>
      <w:r>
        <w:rPr>
          <w:rtl/>
        </w:rPr>
        <w:t xml:space="preserve">المنحنى التالي هو التمثيل البياني</w:t>
      </w:r>
      <w:r>
        <w:rPr>
          <w:rtl/>
        </w:rPr>
        <w:t xml:space="preserve"> </w:t>
      </w:r>
      <w:r>
        <w:rPr>
          <w:rtl/>
          <w:bCs/>
          <w:b/>
        </w:rPr>
        <w:t xml:space="preserve">للدالة المشتقة</w:t>
      </w:r>
      <w:r>
        <w:rPr>
          <w:rtl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rtl/>
        </w:rPr>
        <w:t xml:space="preserve"> </w:t>
      </w:r>
      <w:r>
        <w:rPr>
          <w:rtl/>
        </w:rPr>
        <w:t xml:space="preserve">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:</w:t>
      </w:r>
    </w:p>
    <w:p>
      <w:pPr>
        <w:bidi/>
      </w:pPr>
      <w:r>
        <w:drawing>
          <wp:inline>
            <wp:extent cx="3959999" cy="34540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454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شكّل جدول تغيرات الدالة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(دون حساب النهايات والقيم)، وعيّن فاصلة القيمة الحدية العظمى المحلية.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2026-11-02T19:22:36Z</dcterms:created>
  <dcterms:modified xsi:type="dcterms:W3CDTF">2026-11-02T19:22:36Z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