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علوم-الطبيعية"/>
    <w:p>
      <w:pPr>
        <w:pStyle w:val="Heading1"/>
        <w:bidi/>
      </w:pPr>
      <w:r>
        <w:rPr>
          <w:rtl/>
        </w:rPr>
        <w:t xml:space="preserve">مسابقة بين الثانويات — العلوم الطبيعية</w:t>
      </w:r>
    </w:p>
    <w:p>
      <w:pPr>
        <w:bidi/>
      </w:pPr>
      <w:r>
        <w:rPr>
          <w:rtl/>
          <w:bCs/>
          <w:b/>
        </w:rPr>
        <w:t xml:space="preserve">السؤال رقم 20 — الترجمة — المدة: دقيقتان</w:t>
      </w:r>
    </w:p>
    <w:p>
      <w:pPr>
        <w:bidi/>
      </w:pPr>
      <w:r>
        <w:rPr>
          <w:rtl/>
        </w:rPr>
        <w:t xml:space="preserve">جزيئة ARNm تتكون من 30 نيكليوتيدة، تبدأ برامزة البداية AUG وتنتهي برامزة توقف UAA.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كم عدد الأحماض الأمينية في الببتيد الناتج؟ علّل.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2026-11-02T19:33:46Z</dcterms:created>
  <dcterms:modified xsi:type="dcterms:W3CDTF">2026-11-02T19:33:46Z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