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17 — البنية الفراغية للبروتين — المدة: دقيقتان</w:t>
      </w:r>
    </w:p>
    <w:p>
      <w:pPr>
        <w:bidi/>
      </w:pPr>
      <w:r>
        <w:rPr>
          <w:rtl/>
        </w:rPr>
        <w:t xml:space="preserve">تكتسب البروتينات بنية فراغية محددة ترتبط بوظيفتها.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اذكر ثلاثة أنواع من الروابط التي تحافظ على البنية الفراغية (الثالثية) للبروتين.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2026-11-02T19:33:42Z</dcterms:created>
  <dcterms:modified xsi:type="dcterms:W3CDTF">2026-11-02T19:33:42Z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