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12 — إطلاق الأكسجين — المدة: دقيقتان</w:t>
      </w:r>
    </w:p>
    <w:p>
      <w:pPr>
        <w:bidi/>
      </w:pPr>
      <w:r>
        <w:rPr>
          <w:rtl/>
        </w:rPr>
        <w:t xml:space="preserve">نقيس تركيز الأكسجين في معلق صانعات خضراء معرضة للضوء ثم للظلام.</w:t>
      </w:r>
    </w:p>
    <w:p>
      <w:pPr>
        <w:bidi/>
      </w:pPr>
      <w:r>
        <w:drawing>
          <wp:inline>
            <wp:extent cx="3959999" cy="2910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910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حلّل المنحنى، وماذا تستنتج؟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2026-11-02T19:33:35Z</dcterms:created>
  <dcterms:modified xsi:type="dcterms:W3CDTF">2026-11-02T19:33:35Z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