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6 — الاستجابة المناعية الأولية والثانوية — المدة: دقيقتان</w:t>
      </w:r>
    </w:p>
    <w:p>
      <w:pPr>
        <w:bidi/>
      </w:pPr>
      <w:r>
        <w:rPr>
          <w:rtl/>
        </w:rPr>
        <w:t xml:space="preserve">حقن أرنب بمستضد في اليوم 0 ثم بالمستضد نفسه في اليوم 30. يمثل المنحنى تركيز الأجسام المضادة في المصل.</w:t>
      </w:r>
    </w:p>
    <w:p>
      <w:pPr>
        <w:bidi/>
      </w:pPr>
      <w:r>
        <w:drawing>
          <wp:inline>
            <wp:extent cx="3959999" cy="28775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877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قارن بين الاستجابتين (المدة والشدة)، ثم فسّر الفرق.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2026-11-02T19:33:25Z</dcterms:created>
  <dcterms:modified xsi:type="dcterms:W3CDTF">2026-11-02T19:33:25Z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