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5 — سرعة التفاعل الإنزيمي — المدة: دقيقتان</w:t>
      </w:r>
    </w:p>
    <w:p>
      <w:pPr>
        <w:bidi/>
      </w:pPr>
      <w:r>
        <w:rPr>
          <w:rtl/>
        </w:rPr>
        <w:t xml:space="preserve">يمثل المنحنى تغير السرعة الابتدائية لتفاعل إنزيمي بدلالة تركيز الركيزة</w:t>
      </w:r>
      <w:r>
        <w:rPr>
          <w:rtl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S</m:t>
            </m:r>
          </m:e>
        </m:d>
      </m:oMath>
      <w:r>
        <w:rPr>
          <w:rtl/>
        </w:rPr>
        <w:t xml:space="preserve"> </w:t>
      </w:r>
      <w:r>
        <w:rPr>
          <w:rtl/>
        </w:rPr>
        <w:t xml:space="preserve">(كمية الإنزيم ثابتة).</w:t>
      </w:r>
    </w:p>
    <w:p>
      <w:pPr>
        <w:bidi/>
      </w:pPr>
      <w:r>
        <w:drawing>
          <wp:inline>
            <wp:extent cx="3959999" cy="27611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7611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فسّر ثبات السرعة عند التراكيز المرتفعة للركيزة.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2026-11-02T19:33:23Z</dcterms:created>
  <dcterms:modified xsi:type="dcterms:W3CDTF">2026-11-02T19:33:23Z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