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11 — L’appel — Durée : 2 minutes</w:t>
      </w:r>
    </w:p>
    <w:p>
      <w:pPr>
        <w:pStyle w:val="BodyText"/>
      </w:pPr>
      <w:r>
        <w:rPr>
          <w:bCs/>
          <w:b/>
        </w:rPr>
        <w:t xml:space="preserve">Support:</w:t>
      </w:r>
    </w:p>
    <w:p>
      <w:pPr>
        <w:pStyle w:val="BlockText"/>
      </w:pPr>
      <w:r>
        <w:t xml:space="preserve">Citoyens, rejoignez-nous ! Ensemble, protégeons nos forêts. Chaque arbre planté aujourd’hui est un souffle de vie pour vos enfants.</w:t>
      </w:r>
    </w:p>
    <w:p>
      <w:pPr>
        <w:pStyle w:val="FirstParagraph"/>
      </w:pPr>
      <w:r>
        <w:rPr>
          <w:bCs/>
          <w:b/>
        </w:rPr>
        <w:t xml:space="preserve">Consigne :</w:t>
      </w:r>
      <w:r>
        <w:t xml:space="preserve"> </w:t>
      </w:r>
      <w:r>
        <w:t xml:space="preserve">Quelle est l’intention de l’auteur ? Relevez deux procédés propres à l’appel.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2026-11-02T19:32:48Z</dcterms:created>
  <dcterms:modified xsi:type="dcterms:W3CDTF">2026-11-02T19:32:48Z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