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2 — معادلة التفكك — المدة: دقيقتان</w:t>
      </w:r>
    </w:p>
    <w:p>
      <w:pPr>
        <w:bidi/>
      </w:pPr>
      <w:r>
        <w:rPr>
          <w:rtl/>
        </w:rPr>
        <w:t xml:space="preserve">تتفكك نواة اليورانيوم وفق المعادلة:</w:t>
      </w:r>
    </w:p>
    <w:p>
      <w:pPr>
        <w:bidi/>
      </w:pPr>
      <m:oMathPara>
        <m:oMathParaPr>
          <m:jc m:val="center"/>
        </m:oMathParaPr>
        <m:oMath>
          <m:sSubSup>
            <m:e>
              <m:r>
                <m:t>​</m:t>
              </m:r>
            </m:e>
            <m:sub>
              <m:r>
                <m:t>92</m:t>
              </m:r>
            </m:sub>
            <m:sup>
              <m:r>
                <m:t>238</m:t>
              </m:r>
            </m:sup>
          </m:sSubSup>
          <m:r>
            <m:rPr>
              <m:sty m:val="p"/>
            </m:rPr>
            <m:t>U</m:t>
          </m:r>
          <m:r>
            <m:rPr>
              <m:sty m:val="p"/>
            </m:rPr>
            <m:t>→</m:t>
          </m:r>
          <m:sSubSup>
            <m:e>
              <m:r>
                <m:t>​</m:t>
              </m:r>
            </m:e>
            <m:sub>
              <m:r>
                <m:t>90</m:t>
              </m:r>
            </m:sub>
            <m:sup>
              <m:r>
                <m:t>234</m:t>
              </m:r>
            </m:sup>
          </m:sSubSup>
          <m:r>
            <m:rPr>
              <m:sty m:val="p"/>
            </m:rPr>
            <m:t>T</m:t>
          </m:r>
          <m:r>
            <m:rPr>
              <m:sty m:val="p"/>
            </m:rPr>
            <m:t>h</m:t>
          </m:r>
          <m:r>
            <m:rPr>
              <m:sty m:val="p"/>
            </m:rPr>
            <m:t>+</m:t>
          </m:r>
          <m:sSubSup>
            <m:e>
              <m:r>
                <m:t>​</m:t>
              </m:r>
            </m:e>
            <m:sub>
              <m:r>
                <m:t>Z</m:t>
              </m:r>
            </m:sub>
            <m:sup>
              <m:r>
                <m:t>A</m:t>
              </m:r>
            </m:sup>
          </m:sSubSup>
          <m:r>
            <m:rPr>
              <m:sty m:val="p"/>
            </m:rPr>
            <m:t>X</m:t>
          </m:r>
        </m:oMath>
      </m:oMathPara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باستعمال قانوني الانحفاظ، عيّن</w:t>
      </w:r>
      <w:r>
        <w:rPr>
          <w:rtl/>
        </w:rPr>
        <w:t xml:space="preserve"> </w:t>
      </w:r>
      <m:oMath>
        <m:r>
          <m:t>A</m:t>
        </m:r>
      </m:oMath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rtl/>
        </w:rPr>
        <w:t xml:space="preserve"> </w:t>
      </w:r>
      <m:oMath>
        <m:r>
          <m:t>Z</m:t>
        </m:r>
      </m:oMath>
      <w:r>
        <w:rPr>
          <w:rtl/>
        </w:rPr>
        <w:t xml:space="preserve">، ثم تعرّف على الجسيم</w:t>
      </w:r>
      <w:r>
        <w:rPr>
          <w:rtl/>
        </w:rPr>
        <w:t xml:space="preserve"> </w:t>
      </w:r>
      <m:oMath>
        <m:r>
          <m:rPr>
            <m:sty m:val="p"/>
          </m:rPr>
          <m:t>X</m:t>
        </m:r>
      </m:oMath>
      <w:r>
        <w:rPr>
          <w:rtl/>
        </w:rPr>
        <w:t xml:space="preserve"> </w:t>
      </w:r>
      <w:r>
        <w:rPr>
          <w:rtl/>
        </w:rPr>
        <w:t xml:space="preserve">ونوع النشاط الإشعاعي.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2026-11-02T19:24:17Z</dcterms:created>
  <dcterms:modified xsi:type="dcterms:W3CDTF">2026-11-02T19:24:17Z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