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18 — الحرية والحتمية — المدة: دقيقتان</w:t>
      </w:r>
    </w:p>
    <w:p>
      <w:pPr>
        <w:bidi/>
      </w:pPr>
      <w:r>
        <w:rPr>
          <w:rtl/>
        </w:rPr>
        <w:t xml:space="preserve">يرى سبينوزا أن الناس يعتقدون أنهم أحرار لأنهم يجهلون الأسباب التي تحدد أفعالهم، ويقول سارتر: «الإنسان محكوم عليه أن يكون حراً».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موقف كل منهما من مشكلة الحرية؟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2026-11-02T19:32:01Z</dcterms:created>
  <dcterms:modified xsi:type="dcterms:W3CDTF">2026-11-02T19:32:01Z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