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مسابقة-بين-الثانويات-الفلسفة"/>
    <w:p>
      <w:pPr>
        <w:pStyle w:val="Heading1"/>
        <w:bidi/>
      </w:pPr>
      <w:r>
        <w:rPr>
          <w:rtl/>
        </w:rPr>
        <w:t xml:space="preserve">مسابقة بين الثانويات — الفلسفة</w:t>
      </w:r>
    </w:p>
    <w:p>
      <w:pPr>
        <w:bidi/>
      </w:pPr>
      <w:r>
        <w:rPr>
          <w:rtl/>
          <w:bCs/>
          <w:b/>
        </w:rPr>
        <w:t xml:space="preserve">السؤال رقم 14 — التاريخ والعلم — المدة: دقيقتان</w:t>
      </w:r>
    </w:p>
    <w:p>
      <w:pPr>
        <w:bidi/>
      </w:pPr>
      <w:r>
        <w:rPr>
          <w:rtl/>
        </w:rPr>
        <w:t xml:space="preserve">يطرح الإبستمولوجيون مشكلة إمكانية تطبيق المنهج التجريبي على الحادثة التاريخية.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اذكر عائقين يحولان دون دراسة التاريخ دراسة علمية تجريبية.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2026-11-02T19:31:57Z</dcterms:created>
  <dcterms:modified xsi:type="dcterms:W3CDTF">2026-11-02T19:31:57Z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