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فلسفة"/>
    <w:p>
      <w:pPr>
        <w:pStyle w:val="Heading1"/>
        <w:bidi/>
      </w:pPr>
      <w:r>
        <w:rPr>
          <w:rtl/>
        </w:rPr>
        <w:t xml:space="preserve">مسابقة بين الثانويات — الفلسفة</w:t>
      </w:r>
    </w:p>
    <w:p>
      <w:pPr>
        <w:bidi/>
      </w:pPr>
      <w:r>
        <w:rPr>
          <w:rtl/>
          <w:bCs/>
          <w:b/>
        </w:rPr>
        <w:t xml:space="preserve">السؤال رقم 13 — عوائق التجريب في البيولوجيا — المدة: دقيقتان</w:t>
      </w:r>
    </w:p>
    <w:p>
      <w:pPr>
        <w:bidi/>
      </w:pPr>
      <w:r>
        <w:rPr>
          <w:rtl/>
        </w:rPr>
        <w:t xml:space="preserve">تواجه المادة الحية صعوبات عند تطبيق المنهج التجريبي عليها.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عائقين من عوائق تطبيق المنهج التجريبي في البيولوجيا.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2026-11-02T19:31:56Z</dcterms:created>
  <dcterms:modified xsi:type="dcterms:W3CDTF">2026-11-02T19:31:56Z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