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فلسفة"/>
    <w:p>
      <w:pPr>
        <w:pStyle w:val="Heading1"/>
        <w:bidi/>
      </w:pPr>
      <w:r>
        <w:rPr>
          <w:rtl/>
        </w:rPr>
        <w:t xml:space="preserve">مسابقة بين الثانويات — الفلسفة</w:t>
      </w:r>
    </w:p>
    <w:p>
      <w:pPr>
        <w:bidi/>
      </w:pPr>
      <w:r>
        <w:rPr>
          <w:rtl/>
          <w:bCs/>
          <w:b/>
        </w:rPr>
        <w:t xml:space="preserve">السؤال رقم 12 — المنهج التجريبي — المدة: دقيقتان</w:t>
      </w:r>
    </w:p>
    <w:p>
      <w:pPr>
        <w:bidi/>
      </w:pPr>
      <w:r>
        <w:rPr>
          <w:rtl/>
        </w:rPr>
        <w:t xml:space="preserve">وضع كلود برنار خطوات المنهج التجريبي.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رتّب خطوات المنهج التجريبي حسب كلود برنار.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2026-11-02T19:31:55Z</dcterms:created>
  <dcterms:modified xsi:type="dcterms:W3CDTF">2026-11-02T19:31:55Z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