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7 — اللغة والفكر — المدة: دقيقتان</w:t>
      </w:r>
    </w:p>
    <w:p>
      <w:pPr>
        <w:bidi/>
      </w:pPr>
      <w:r>
        <w:rPr>
          <w:rtl/>
        </w:rPr>
        <w:t xml:space="preserve">يقول هيغل: «نحن نفكر داخل الكلمات»، بينما يرى برغسون أن اللغة عاجزة عن التعبير عن ديمومة الفكر.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موقف كل منهما من العلاقة بين اللغة والفكر؟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2026-11-02T19:31:49Z</dcterms:created>
  <dcterms:modified xsi:type="dcterms:W3CDTF">2026-11-02T19:31:49Z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