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فلسفة"/>
    <w:p>
      <w:pPr>
        <w:pStyle w:val="Heading1"/>
        <w:bidi/>
      </w:pPr>
      <w:r>
        <w:rPr>
          <w:rtl/>
        </w:rPr>
        <w:t xml:space="preserve">مسابقة بين الثانويات — الفلسفة</w:t>
      </w:r>
    </w:p>
    <w:p>
      <w:pPr>
        <w:bidi/>
      </w:pPr>
      <w:r>
        <w:rPr>
          <w:rtl/>
          <w:bCs/>
          <w:b/>
        </w:rPr>
        <w:t xml:space="preserve">السؤال رقم 5 — الذاكرة الاجتماعية — المدة: دقيقتان</w:t>
      </w:r>
    </w:p>
    <w:p>
      <w:pPr>
        <w:bidi/>
      </w:pPr>
      <w:r>
        <w:rPr>
          <w:rtl/>
        </w:rPr>
        <w:t xml:space="preserve">يرى موريس هالبواكس أننا «حين نتذكر نحتاج إلى غيرنا».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ما الموقف الذي يمثله هالبواكس في طبيعة الذاكرة؟ وضّح.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2026-11-02T19:31:46Z</dcterms:created>
  <dcterms:modified xsi:type="dcterms:W3CDTF">2026-11-02T19:31:46Z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