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2 — الشعور واللاشعور — المدة: دقيقتان</w:t>
      </w:r>
    </w:p>
    <w:p>
      <w:pPr>
        <w:bidi/>
      </w:pPr>
      <w:r>
        <w:rPr>
          <w:rtl/>
        </w:rPr>
        <w:t xml:space="preserve">يرى سيغموند فرويد أن الحياة النفسية لا تقتصر على الشعور، بل يوجد جانب خفي هو اللاشعور.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اذكر ثلاثة مظاهر يستدل بها فرويد على وجود اللاشعور.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2026-11-02T19:31:43Z</dcterms:created>
  <dcterms:modified xsi:type="dcterms:W3CDTF">2026-11-02T19:31:43Z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