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3 — Conditional type 2 — Time: 2 minutes</w:t>
      </w:r>
    </w:p>
    <w:p>
      <w:pPr>
        <w:pStyle w:val="BodyText"/>
      </w:pPr>
      <w:r>
        <w:t xml:space="preserve">“</w:t>
      </w:r>
      <w:r>
        <w:t xml:space="preserve">If I (be) ………… the headmaster, I (build) ………… a new library.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Task:</w:t>
      </w:r>
      <w:r>
        <w:t xml:space="preserve"> </w:t>
      </w:r>
      <w:r>
        <w:t xml:space="preserve">Put the verbs in the correct form.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2026-11-02T19:32:58Z</dcterms:created>
  <dcterms:modified xsi:type="dcterms:W3CDTF">2026-11-02T19:32:58Z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