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51a4461e53ccc9f54e9c9bcf797f880c5feab0"/>
    <w:p>
      <w:pPr>
        <w:pStyle w:val="Heading1"/>
        <w:bidi/>
      </w:pPr>
      <w:r>
        <w:rPr>
          <w:rtl/>
        </w:rPr>
        <w:t xml:space="preserve">مسابقة بين الثانويات — اللغة العربية وآدابها</w:t>
      </w:r>
    </w:p>
    <w:p>
      <w:pPr>
        <w:bidi/>
      </w:pPr>
      <w:r>
        <w:rPr>
          <w:rtl/>
          <w:bCs/>
          <w:b/>
        </w:rPr>
        <w:t xml:space="preserve">السؤال رقم 16 — القصة القصيرة — المدة: دقيقتان</w:t>
      </w:r>
    </w:p>
    <w:p>
      <w:pPr>
        <w:bidi/>
      </w:pPr>
      <w:r>
        <w:rPr>
          <w:rtl/>
        </w:rPr>
        <w:t xml:space="preserve">القصة القصيرة فن نثري حديث.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اذكر أربعة من عناصر القصة القصيرة.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2026-11-02T19:31:35Z</dcterms:created>
  <dcterms:modified xsi:type="dcterms:W3CDTF">2026-11-02T19:31:35Z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