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d51a4461e53ccc9f54e9c9bcf797f880c5feab0"/>
    <w:p>
      <w:pPr>
        <w:pStyle w:val="Heading1"/>
        <w:bidi/>
      </w:pPr>
      <w:r>
        <w:rPr>
          <w:rtl/>
        </w:rPr>
        <w:t xml:space="preserve">مسابقة بين الثانويات — اللغة العربية وآدابها</w:t>
      </w:r>
    </w:p>
    <w:p>
      <w:pPr>
        <w:bidi/>
      </w:pPr>
      <w:r>
        <w:rPr>
          <w:rtl/>
          <w:bCs/>
          <w:b/>
        </w:rPr>
        <w:t xml:space="preserve">السؤال رقم 14 — الشعر الحر — المدة: دقيقتان</w:t>
      </w:r>
    </w:p>
    <w:p>
      <w:pPr>
        <w:bidi/>
      </w:pPr>
      <w:r>
        <w:rPr>
          <w:rtl/>
        </w:rPr>
        <w:t xml:space="preserve">ظهر الشعر الحر (شعر التفعيلة) في العراق أواخر الأربعينيات من القرن العشرين.</w:t>
      </w:r>
    </w:p>
    <w:p>
      <w:pPr>
        <w:bidi/>
      </w:pPr>
      <w:r>
        <w:rPr>
          <w:rtl/>
          <w:bCs/>
          <w:b/>
        </w:rPr>
        <w:t xml:space="preserve">السؤال:</w:t>
      </w:r>
      <w:r>
        <w:rPr>
          <w:rtl/>
        </w:rPr>
        <w:t xml:space="preserve"> </w:t>
      </w:r>
      <w:r>
        <w:rPr>
          <w:rtl/>
        </w:rPr>
        <w:t xml:space="preserve">اذكر ثلاث خصائص فنية للشعر الحر.</w:t>
      </w:r>
    </w:p>
    <w:p>
      <w:pPr>
        <w:bidi/>
      </w:pPr>
      <w:r>
        <w:rPr>
          <w:rtl/>
          <w:bCs/>
          <w:b/>
        </w:rPr>
        <w:t xml:space="preserve">الإجابة: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cs="Traditional Arabic" w:eastAsia="Cambria" w:hAnsi="Cambria"/>
        <w:sz w:val="24"/>
        <w:szCs w:val="24"/>
        <w:lang w:bidi="ar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ar</dc:language>
  <cp:keywords/>
  <dcterms:created xsi:type="dcterms:W3CDTF">2026-11-02T19:31:33Z</dcterms:created>
  <dcterms:modified xsi:type="dcterms:W3CDTF">2026-11-02T19:31:33Z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r">
    <vt:lpwstr>rtl</vt:lpwstr>
  </property>
</Properties>
</file>